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117BB45A" w:rsidR="00127DE3" w:rsidRPr="007E798A" w:rsidRDefault="007E798A" w:rsidP="007B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постановления </w:t>
            </w:r>
            <w:r w:rsidR="00782C2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Санкт-Петербурга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B47BE" w:rsidRPr="007B47BE">
              <w:rPr>
                <w:rFonts w:ascii="Times New Roman" w:hAnsi="Times New Roman"/>
                <w:b/>
                <w:sz w:val="28"/>
              </w:rPr>
              <w:t>О внесении изменений в постановление Правительства Санкт</w:t>
            </w:r>
            <w:r w:rsidR="007B47BE" w:rsidRPr="007B47BE">
              <w:rPr>
                <w:rFonts w:ascii="Times New Roman" w:hAnsi="Times New Roman"/>
                <w:b/>
                <w:sz w:val="28"/>
              </w:rPr>
              <w:t>-Петербурга от 17.04.2014 № 266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71AD12B4" w:rsidR="006F3B9D" w:rsidRPr="007E798A" w:rsidRDefault="006F3B9D" w:rsidP="007B47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>по проекту постановления</w:t>
            </w:r>
            <w:proofErr w:type="gramEnd"/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Правительства </w:t>
            </w:r>
            <w:r w:rsidR="00955C5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Санкт-Петербурга </w:t>
            </w:r>
            <w:r w:rsidR="007B47BE" w:rsidRPr="007B47B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 w:rsidR="007B47BE" w:rsidRPr="007B47BE">
              <w:rPr>
                <w:rFonts w:ascii="Times New Roman" w:hAnsi="Times New Roman"/>
                <w:b/>
                <w:i/>
                <w:sz w:val="28"/>
                <w:u w:val="single"/>
              </w:rPr>
              <w:t>О внесении изменений в постановление Правительства Санкт-Петербурга от 17.04.2014 № 266</w:t>
            </w:r>
            <w:r w:rsidR="007B47BE" w:rsidRPr="007B47B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 w:rsidR="007B47BE" w:rsidRPr="007B4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15F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4D97EB9C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B47B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22.09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7B47B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28</w:t>
            </w:r>
            <w:r w:rsidR="00D905D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.09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130C5716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6588D0" w14:textId="77777777" w:rsidR="007F2606" w:rsidRDefault="00665A7B" w:rsidP="00404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1EF3EA18" w:rsidR="00404BBD" w:rsidRPr="003E115F" w:rsidRDefault="007B47BE" w:rsidP="00404BB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anchor="npa=10363" w:history="1">
              <w:r w:rsidRPr="007B47BE">
                <w:rPr>
                  <w:rStyle w:val="a5"/>
                  <w:rFonts w:ascii="Times New Roman" w:hAnsi="Times New Roman"/>
                  <w:sz w:val="28"/>
                </w:rPr>
                <w:t>http://regulation.cipit.gov.spb.ru/projects#npa=10363</w:t>
              </w:r>
            </w:hyperlink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50B471DD" w:rsidR="006F3B9D" w:rsidRPr="0088403B" w:rsidRDefault="006F3B9D" w:rsidP="007B47BE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C8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  <w:r w:rsidR="001667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B47BE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B47BE" w:rsidRPr="007B47BE">
              <w:rPr>
                <w:rFonts w:ascii="Times New Roman" w:hAnsi="Times New Roman" w:cs="Times New Roman"/>
                <w:b/>
                <w:sz w:val="28"/>
              </w:rPr>
              <w:t>О внесении изменений в постановление Правительства Санкт</w:t>
            </w:r>
            <w:r w:rsidR="007B47BE" w:rsidRPr="007B47BE">
              <w:rPr>
                <w:rFonts w:ascii="Times New Roman" w:hAnsi="Times New Roman"/>
                <w:b/>
                <w:sz w:val="28"/>
              </w:rPr>
              <w:t>-Петербурга от 17.04.2014 № 266</w:t>
            </w:r>
            <w:r w:rsidR="007B47BE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B47BE" w:rsidRPr="00C41A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  <w:proofErr w:type="gramEnd"/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BDECA" w14:textId="77777777" w:rsidR="00966AC5" w:rsidRDefault="00966AC5" w:rsidP="00CD0F91">
      <w:pPr>
        <w:spacing w:after="0" w:line="240" w:lineRule="auto"/>
      </w:pPr>
      <w:r>
        <w:separator/>
      </w:r>
    </w:p>
  </w:endnote>
  <w:endnote w:type="continuationSeparator" w:id="0">
    <w:p w14:paraId="503A7D8B" w14:textId="77777777" w:rsidR="00966AC5" w:rsidRDefault="00966AC5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CB126" w14:textId="77777777" w:rsidR="00966AC5" w:rsidRDefault="00966AC5" w:rsidP="00CD0F91">
      <w:pPr>
        <w:spacing w:after="0" w:line="240" w:lineRule="auto"/>
      </w:pPr>
      <w:r>
        <w:separator/>
      </w:r>
    </w:p>
  </w:footnote>
  <w:footnote w:type="continuationSeparator" w:id="0">
    <w:p w14:paraId="3871D80C" w14:textId="77777777" w:rsidR="00966AC5" w:rsidRDefault="00966AC5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7B47BE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115F"/>
    <w:rsid w:val="003F746C"/>
    <w:rsid w:val="00404BBD"/>
    <w:rsid w:val="00443F6D"/>
    <w:rsid w:val="00453A9A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B47BE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72CCC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6AC5"/>
    <w:rsid w:val="0096746D"/>
    <w:rsid w:val="00985C99"/>
    <w:rsid w:val="00986D9E"/>
    <w:rsid w:val="009C2507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7510F"/>
    <w:rsid w:val="00D83716"/>
    <w:rsid w:val="00D905D1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7412F"/>
    <w:rsid w:val="00F85F5A"/>
    <w:rsid w:val="00F87CAF"/>
    <w:rsid w:val="00F974BE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cipit.gov.spb.ru/project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ADFD4-0020-4C6F-9DF7-5F9B01D5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11791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Федосов Игорь Дмитриевич</cp:lastModifiedBy>
  <cp:revision>4</cp:revision>
  <cp:lastPrinted>2018-09-18T08:26:00Z</cp:lastPrinted>
  <dcterms:created xsi:type="dcterms:W3CDTF">2022-08-30T09:12:00Z</dcterms:created>
  <dcterms:modified xsi:type="dcterms:W3CDTF">2022-09-22T07:20:00Z</dcterms:modified>
</cp:coreProperties>
</file>